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439B" w:rsidRDefault="00721C8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ПОЯСНИТЕЛЬНАЯ ЗАПИСКА</w:t>
      </w:r>
    </w:p>
    <w:p w:rsidR="005E439B" w:rsidRDefault="00721C8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проекту распоряжения Правительства Московской области</w:t>
      </w:r>
    </w:p>
    <w:p w:rsidR="005E439B" w:rsidRDefault="00721C8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«Об отчете об исполнении бюджета Территориального фонда обязательного медицинского страхования Московской области за 2025 год»</w:t>
      </w:r>
    </w:p>
    <w:p w:rsidR="005E439B" w:rsidRDefault="005E439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E439B" w:rsidRDefault="00721C8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пунктом 5 статьи 149 Бюджетного </w:t>
      </w:r>
      <w:r>
        <w:rPr>
          <w:rFonts w:ascii="Times New Roman" w:hAnsi="Times New Roman"/>
          <w:sz w:val="28"/>
          <w:szCs w:val="28"/>
        </w:rPr>
        <w:t>кодекса Российской Федерации:</w:t>
      </w:r>
    </w:p>
    <w:p w:rsidR="005E439B" w:rsidRDefault="00721C8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 Территориальный фонд обязательного медицинского страхования Московской области представляет отчет об исполнении бюджета за 2025 год </w:t>
      </w:r>
      <w:r>
        <w:rPr>
          <w:rFonts w:ascii="Times New Roman" w:hAnsi="Times New Roman"/>
          <w:sz w:val="28"/>
          <w:szCs w:val="28"/>
        </w:rPr>
        <w:br w:type="textWrapping" w:clear="all"/>
      </w:r>
      <w:r>
        <w:rPr>
          <w:rFonts w:ascii="Times New Roman" w:hAnsi="Times New Roman"/>
          <w:sz w:val="28"/>
          <w:szCs w:val="28"/>
        </w:rPr>
        <w:t>в высший исполнительный орган субъекта Российской Федерации;</w:t>
      </w:r>
    </w:p>
    <w:p w:rsidR="005E439B" w:rsidRDefault="00721C8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 не позднее 15 апреля текущег</w:t>
      </w:r>
      <w:r>
        <w:rPr>
          <w:rFonts w:ascii="Times New Roman" w:hAnsi="Times New Roman"/>
          <w:sz w:val="28"/>
          <w:szCs w:val="28"/>
        </w:rPr>
        <w:t>о года высший исполнительный орган субъекта Российской Федерации направляет отчет в Контрольно-счетную палату Московской области для подготовки заключения на него.</w:t>
      </w:r>
    </w:p>
    <w:p w:rsidR="005E439B" w:rsidRDefault="00721C8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Отчет составлен на основании приказа Министерства финансов Российской Федерации от 28.12.201</w:t>
      </w:r>
      <w:r>
        <w:rPr>
          <w:rFonts w:ascii="Times New Roman" w:hAnsi="Times New Roman"/>
          <w:sz w:val="28"/>
          <w:szCs w:val="28"/>
        </w:rPr>
        <w:t xml:space="preserve">0 № 191н «Об утверждении Инструкции о порядке составления и представления годовой, квартальной и месячной отчетности </w:t>
      </w:r>
      <w:r>
        <w:rPr>
          <w:rFonts w:ascii="Times New Roman" w:hAnsi="Times New Roman"/>
          <w:sz w:val="28"/>
          <w:szCs w:val="28"/>
        </w:rPr>
        <w:br w:type="textWrapping" w:clear="all"/>
      </w:r>
      <w:r>
        <w:rPr>
          <w:rFonts w:ascii="Times New Roman" w:hAnsi="Times New Roman"/>
          <w:sz w:val="28"/>
          <w:szCs w:val="28"/>
        </w:rPr>
        <w:t>об исполнении бюджетов бюджетной системы Российской Федерации», содержит данные бухгалтерской (бюджетной) отчетности в соответствии со ста</w:t>
      </w:r>
      <w:r>
        <w:rPr>
          <w:rFonts w:ascii="Times New Roman" w:hAnsi="Times New Roman"/>
          <w:sz w:val="28"/>
          <w:szCs w:val="28"/>
        </w:rPr>
        <w:t>тьей 264.1 Бюджетного кодекса Российской Федерации и включает:</w:t>
      </w:r>
    </w:p>
    <w:p w:rsidR="005E439B" w:rsidRDefault="00721C8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 отчет об исполнении бюджета;</w:t>
      </w:r>
    </w:p>
    <w:p w:rsidR="005E439B" w:rsidRDefault="00721C8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 баланс исполнения бюджета;</w:t>
      </w:r>
    </w:p>
    <w:p w:rsidR="005E439B" w:rsidRDefault="00721C8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 отчет о финансовых результатах деятельности;</w:t>
      </w:r>
    </w:p>
    <w:p w:rsidR="005E439B" w:rsidRDefault="00721C8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 отчет о движении денежных средств;</w:t>
      </w:r>
    </w:p>
    <w:p w:rsidR="005E439B" w:rsidRDefault="00721C8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 пояснительную записку.</w:t>
      </w:r>
    </w:p>
    <w:p w:rsidR="005E439B" w:rsidRDefault="00721C8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Бюджет Территориального </w:t>
      </w:r>
      <w:r>
        <w:rPr>
          <w:rFonts w:ascii="Times New Roman" w:hAnsi="Times New Roman"/>
          <w:sz w:val="28"/>
          <w:szCs w:val="28"/>
        </w:rPr>
        <w:t>фонда обязательного медицинского страхования Московской области за 2025 год исполнен по доходам в сумме 212 186,0 млн. руб. или на 103% к утвержденному бюджету на год. К уровню 2024 года доходы увеличились на 16% или на 29 174,7 млн. руб. (2024 год – 183 0</w:t>
      </w:r>
      <w:r>
        <w:rPr>
          <w:rFonts w:ascii="Times New Roman" w:hAnsi="Times New Roman"/>
          <w:sz w:val="28"/>
          <w:szCs w:val="28"/>
        </w:rPr>
        <w:t>11,3 млн. руб.).</w:t>
      </w:r>
    </w:p>
    <w:p w:rsidR="005E439B" w:rsidRDefault="00721C8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Расходы Территориального фонда обязательного медицинского страхования Московской области за 2025 год составили 213 089,3 млн. руб. или 99,9% </w:t>
      </w:r>
      <w:r>
        <w:rPr>
          <w:rFonts w:ascii="Times New Roman" w:hAnsi="Times New Roman"/>
          <w:sz w:val="28"/>
          <w:szCs w:val="28"/>
        </w:rPr>
        <w:br w:type="textWrapping" w:clear="all"/>
      </w:r>
      <w:r>
        <w:rPr>
          <w:rFonts w:ascii="Times New Roman" w:hAnsi="Times New Roman"/>
          <w:sz w:val="28"/>
          <w:szCs w:val="28"/>
        </w:rPr>
        <w:t xml:space="preserve">к плановой сумме, утвержденной на год согласно сводной бюджетной росписи, </w:t>
      </w:r>
      <w:r>
        <w:rPr>
          <w:rFonts w:ascii="Times New Roman" w:hAnsi="Times New Roman"/>
          <w:sz w:val="28"/>
          <w:szCs w:val="28"/>
        </w:rPr>
        <w:br w:type="textWrapping" w:clear="all"/>
      </w:r>
      <w:r>
        <w:rPr>
          <w:rFonts w:ascii="Times New Roman" w:hAnsi="Times New Roman"/>
          <w:sz w:val="28"/>
          <w:szCs w:val="28"/>
        </w:rPr>
        <w:t>из них:</w:t>
      </w:r>
    </w:p>
    <w:p w:rsidR="005E439B" w:rsidRDefault="00721C8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 расходы на ф</w:t>
      </w:r>
      <w:r>
        <w:rPr>
          <w:rFonts w:ascii="Times New Roman" w:hAnsi="Times New Roman"/>
          <w:sz w:val="28"/>
          <w:szCs w:val="28"/>
        </w:rPr>
        <w:t>инансовое обеспечение Московской областной программы обязательного медицинского страхования составили 192 706,9 млн. руб. или 100% утвержденного показателя;</w:t>
      </w:r>
    </w:p>
    <w:p w:rsidR="005E439B" w:rsidRDefault="00721C8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 расходы на оказание медицинской помощи лицам, застрахованным </w:t>
      </w:r>
      <w:r>
        <w:rPr>
          <w:rFonts w:ascii="Times New Roman" w:hAnsi="Times New Roman"/>
          <w:sz w:val="28"/>
          <w:szCs w:val="28"/>
        </w:rPr>
        <w:br w:type="textWrapping" w:clear="all"/>
      </w:r>
      <w:r>
        <w:rPr>
          <w:rFonts w:ascii="Times New Roman" w:hAnsi="Times New Roman"/>
          <w:sz w:val="28"/>
          <w:szCs w:val="28"/>
        </w:rPr>
        <w:t>по программе обязательного медицинс</w:t>
      </w:r>
      <w:r>
        <w:rPr>
          <w:rFonts w:ascii="Times New Roman" w:hAnsi="Times New Roman"/>
          <w:sz w:val="28"/>
          <w:szCs w:val="28"/>
        </w:rPr>
        <w:t>кого страхования в других субъектах Российской Федерации, составили 15 158,4 млн. руб. или 100% утвержденного показателя;</w:t>
      </w:r>
    </w:p>
    <w:p w:rsidR="005E439B" w:rsidRDefault="00721C8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– расходы на финансовое обеспечение мероприятий в рамках Московской областной программы государственных гарантий бесплатного оказания </w:t>
      </w:r>
      <w:r>
        <w:rPr>
          <w:rFonts w:ascii="Times New Roman" w:hAnsi="Times New Roman"/>
          <w:sz w:val="28"/>
          <w:szCs w:val="28"/>
        </w:rPr>
        <w:t xml:space="preserve">гражданам медицинской помощи в части финансового обеспечения медицинской помощи, оказываемой гражданам, не идентифицированным и не застрахованным </w:t>
      </w:r>
      <w:r>
        <w:rPr>
          <w:rFonts w:ascii="Times New Roman" w:hAnsi="Times New Roman"/>
          <w:sz w:val="28"/>
          <w:szCs w:val="28"/>
        </w:rPr>
        <w:br w:type="textWrapping" w:clear="all"/>
      </w:r>
      <w:r>
        <w:rPr>
          <w:rFonts w:ascii="Times New Roman" w:hAnsi="Times New Roman"/>
          <w:sz w:val="28"/>
          <w:szCs w:val="28"/>
        </w:rPr>
        <w:t>по программе обязательного медицинского страхования, составили 2 599,8 млн. руб. или 100% утвержденного показ</w:t>
      </w:r>
      <w:r>
        <w:rPr>
          <w:rFonts w:ascii="Times New Roman" w:hAnsi="Times New Roman"/>
          <w:sz w:val="28"/>
          <w:szCs w:val="28"/>
        </w:rPr>
        <w:t>ателя;</w:t>
      </w:r>
    </w:p>
    <w:p w:rsidR="005E439B" w:rsidRDefault="00721C8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 расходы на финансовое обеспечение мероприятий по организации дополнительного профессионального образования медицинских работников </w:t>
      </w:r>
      <w:r>
        <w:rPr>
          <w:rFonts w:ascii="Times New Roman" w:hAnsi="Times New Roman"/>
          <w:sz w:val="28"/>
          <w:szCs w:val="28"/>
        </w:rPr>
        <w:br w:type="textWrapping" w:clear="all"/>
      </w:r>
      <w:r>
        <w:rPr>
          <w:rFonts w:ascii="Times New Roman" w:hAnsi="Times New Roman"/>
          <w:sz w:val="28"/>
          <w:szCs w:val="28"/>
        </w:rPr>
        <w:t>по программам повышения квалификации, а также по приобретению и проведению ремонта медицинского оборудования состави</w:t>
      </w:r>
      <w:r>
        <w:rPr>
          <w:rFonts w:ascii="Times New Roman" w:hAnsi="Times New Roman"/>
          <w:sz w:val="28"/>
          <w:szCs w:val="28"/>
        </w:rPr>
        <w:t>ли 659,3 млн. руб. или 77,2% утвержденного показателя;</w:t>
      </w:r>
    </w:p>
    <w:p w:rsidR="005E439B" w:rsidRDefault="00721C8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 расходы на финансовое обеспечение мероприятий по софинансированию расходов медицинских организаций на оплату труда врачей и среднего медицинского персонала составили 906,2 млн. руб. или 100% утвержде</w:t>
      </w:r>
      <w:r>
        <w:rPr>
          <w:rFonts w:ascii="Times New Roman" w:hAnsi="Times New Roman"/>
          <w:sz w:val="28"/>
          <w:szCs w:val="28"/>
        </w:rPr>
        <w:t>нного показателя;</w:t>
      </w:r>
    </w:p>
    <w:p w:rsidR="005E439B" w:rsidRDefault="00721C8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 расходы на финансовое обеспечение денежных выплат стимулирующего характера медицинским работникам за выявление онкологических заболеваний </w:t>
      </w:r>
      <w:r>
        <w:rPr>
          <w:rFonts w:ascii="Times New Roman" w:hAnsi="Times New Roman"/>
          <w:sz w:val="28"/>
          <w:szCs w:val="28"/>
        </w:rPr>
        <w:br w:type="textWrapping" w:clear="all"/>
      </w:r>
      <w:r>
        <w:rPr>
          <w:rFonts w:ascii="Times New Roman" w:hAnsi="Times New Roman"/>
          <w:sz w:val="28"/>
          <w:szCs w:val="28"/>
        </w:rPr>
        <w:t>в ходе проведения диспансеризации и профилактических медицинских осмотров населения исполнены в с</w:t>
      </w:r>
      <w:r>
        <w:rPr>
          <w:rFonts w:ascii="Times New Roman" w:hAnsi="Times New Roman"/>
          <w:sz w:val="28"/>
          <w:szCs w:val="28"/>
        </w:rPr>
        <w:t>умме 7 млн. руб. или 100% утвержденного показателя;</w:t>
      </w:r>
    </w:p>
    <w:p w:rsidR="005E439B" w:rsidRDefault="00721C8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 расходы на финансовое обеспечение выполнения функций аппаратом Территориального фонда обязательного медицинского страхования Московской области составили 1 051,7 млн. руб. или 99,6% утвержденного показа</w:t>
      </w:r>
      <w:r>
        <w:rPr>
          <w:rFonts w:ascii="Times New Roman" w:hAnsi="Times New Roman"/>
          <w:sz w:val="28"/>
          <w:szCs w:val="28"/>
        </w:rPr>
        <w:t>теля.</w:t>
      </w:r>
    </w:p>
    <w:p w:rsidR="005E439B" w:rsidRDefault="00721C8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сравнению с 2024 годом расходы увеличились на 17% или</w:t>
      </w:r>
      <w:r>
        <w:rPr>
          <w:rFonts w:ascii="Times New Roman" w:hAnsi="Times New Roman"/>
          <w:sz w:val="28"/>
          <w:szCs w:val="28"/>
        </w:rPr>
        <w:br/>
        <w:t>на 31 062,8 млн. руб. (2024 год – 182 026,5 млн. руб.).</w:t>
      </w:r>
    </w:p>
    <w:p w:rsidR="005E439B" w:rsidRDefault="00721C8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Бюджетные обязательства (денежные обязательства) принимались в пределах утвержденных лимитов бюджетных обязательств на текущий финансовый</w:t>
      </w:r>
      <w:r>
        <w:rPr>
          <w:rFonts w:ascii="Times New Roman" w:hAnsi="Times New Roman"/>
          <w:sz w:val="28"/>
          <w:szCs w:val="28"/>
        </w:rPr>
        <w:t xml:space="preserve"> год.</w:t>
      </w:r>
    </w:p>
    <w:p w:rsidR="005E439B" w:rsidRDefault="00721C8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Порядок принятия проекта распоряжения осуществляется в соответствии </w:t>
      </w:r>
      <w:r>
        <w:rPr>
          <w:rFonts w:ascii="Times New Roman" w:hAnsi="Times New Roman"/>
          <w:sz w:val="28"/>
          <w:szCs w:val="28"/>
        </w:rPr>
        <w:br w:type="textWrapping" w:clear="all"/>
      </w:r>
      <w:r>
        <w:rPr>
          <w:rFonts w:ascii="Times New Roman" w:hAnsi="Times New Roman"/>
          <w:sz w:val="28"/>
          <w:szCs w:val="28"/>
        </w:rPr>
        <w:t>с постановлением Губернатора Московской области № 150-ПГ «О Регламенте Правительства Московской области».</w:t>
      </w:r>
    </w:p>
    <w:p w:rsidR="005E439B" w:rsidRDefault="00721C82">
      <w:pPr>
        <w:pStyle w:val="afb"/>
        <w:spacing w:after="0"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Представленный проект распоряжения Правительства Московской области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>в соот</w:t>
      </w:r>
      <w:r>
        <w:rPr>
          <w:sz w:val="28"/>
          <w:szCs w:val="28"/>
        </w:rPr>
        <w:t xml:space="preserve">ветствии с распоряжением Губернатора Московской области № 196-РГ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>«О направлении в прокуратуру Московской области нормативных правовых актов Московской области и их проектов, а также проектов федеральных законов, непосредственно связанных с компетенцией ор</w:t>
      </w:r>
      <w:r>
        <w:rPr>
          <w:sz w:val="28"/>
          <w:szCs w:val="28"/>
        </w:rPr>
        <w:t>ганов прокуратуры, разработанных центральными исполнительными органами Московской области, государственными органами Московской области и планируемых к внесению Московской областной Думой в Государственную Думу Федерального Собрания Российской Федерации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>порядке законодательной инициативы» не требует направления в Прокуратуру Московской области.</w:t>
      </w:r>
    </w:p>
    <w:p w:rsidR="005E439B" w:rsidRDefault="00721C8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Принятие распоряжения Правительства Московской области «Об отчете</w:t>
      </w:r>
      <w:r>
        <w:rPr>
          <w:rFonts w:ascii="Times New Roman" w:hAnsi="Times New Roman"/>
          <w:sz w:val="28"/>
          <w:szCs w:val="28"/>
        </w:rPr>
        <w:br w:type="textWrapping" w:clear="all"/>
      </w:r>
      <w:r>
        <w:rPr>
          <w:rFonts w:ascii="Times New Roman" w:hAnsi="Times New Roman"/>
          <w:sz w:val="28"/>
          <w:szCs w:val="28"/>
        </w:rPr>
        <w:t>об исполнении бюджета Территориального фонда обязательного медицинского страхо</w:t>
      </w:r>
      <w:r>
        <w:rPr>
          <w:rFonts w:ascii="Times New Roman" w:hAnsi="Times New Roman"/>
          <w:sz w:val="28"/>
          <w:szCs w:val="28"/>
        </w:rPr>
        <w:t>вания Московской области за 2025 год» не повлечет экономических, структурных изменений в системе управления, не повлияет на доходы и расходы бюджета Московской области, бюджетов муниципальных образований Московской области, не потребует изменения или разра</w:t>
      </w:r>
      <w:r>
        <w:rPr>
          <w:rFonts w:ascii="Times New Roman" w:hAnsi="Times New Roman"/>
          <w:sz w:val="28"/>
          <w:szCs w:val="28"/>
        </w:rPr>
        <w:t>ботку других нормативных правовых актов.</w:t>
      </w:r>
    </w:p>
    <w:p w:rsidR="005E439B" w:rsidRDefault="00721C82">
      <w:pPr>
        <w:pStyle w:val="afb"/>
        <w:spacing w:after="0" w:line="268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Правовым управлением Территориального фонда обязательного медицинского страхования Московской области проведена правовая и антикоррупционная экспертизы, в результате которых коррупциогенные факторы в тексте проекта </w:t>
      </w:r>
      <w:r>
        <w:rPr>
          <w:sz w:val="28"/>
          <w:szCs w:val="28"/>
        </w:rPr>
        <w:t>распоряжения не выявлены.</w:t>
      </w:r>
    </w:p>
    <w:p w:rsidR="005E439B" w:rsidRDefault="00721C82">
      <w:pPr>
        <w:spacing w:after="0" w:line="26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Проект распоряжения размещен на сайте </w:t>
      </w:r>
      <w:hyperlink r:id="rId7" w:history="1">
        <w:r>
          <w:rPr>
            <w:rStyle w:val="af2"/>
            <w:rFonts w:ascii="Times New Roman" w:hAnsi="Times New Roman"/>
            <w:sz w:val="28"/>
            <w:szCs w:val="28"/>
            <w:lang w:val="en-US"/>
          </w:rPr>
          <w:t>www</w:t>
        </w:r>
        <w:r>
          <w:rPr>
            <w:rStyle w:val="af2"/>
            <w:rFonts w:ascii="Times New Roman" w:hAnsi="Times New Roman"/>
            <w:sz w:val="28"/>
            <w:szCs w:val="28"/>
          </w:rPr>
          <w:t>.</w:t>
        </w:r>
        <w:r>
          <w:rPr>
            <w:rStyle w:val="af2"/>
            <w:rFonts w:ascii="Times New Roman" w:hAnsi="Times New Roman"/>
            <w:sz w:val="28"/>
            <w:szCs w:val="28"/>
            <w:lang w:val="en-US"/>
          </w:rPr>
          <w:t>mofoms</w:t>
        </w:r>
        <w:r>
          <w:rPr>
            <w:rStyle w:val="af2"/>
            <w:rFonts w:ascii="Times New Roman" w:hAnsi="Times New Roman"/>
            <w:sz w:val="28"/>
            <w:szCs w:val="28"/>
          </w:rPr>
          <w:t>.</w:t>
        </w:r>
        <w:r>
          <w:rPr>
            <w:rStyle w:val="af2"/>
            <w:rFonts w:ascii="Times New Roman" w:hAnsi="Times New Roman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/>
          <w:sz w:val="28"/>
          <w:szCs w:val="28"/>
        </w:rPr>
        <w:t>.</w:t>
      </w:r>
    </w:p>
    <w:p w:rsidR="005E439B" w:rsidRDefault="005E439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E439B" w:rsidRDefault="005E439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E439B" w:rsidRDefault="00721C82">
      <w:pPr>
        <w:pStyle w:val="afb"/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>И. о. директора</w:t>
      </w:r>
    </w:p>
    <w:p w:rsidR="005E439B" w:rsidRDefault="00721C82">
      <w:pPr>
        <w:pStyle w:val="afb"/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Территориального фонда </w:t>
      </w:r>
    </w:p>
    <w:p w:rsidR="005E439B" w:rsidRDefault="00721C82">
      <w:pPr>
        <w:pStyle w:val="afb"/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обязательного медицинского </w:t>
      </w:r>
    </w:p>
    <w:p w:rsidR="005E439B" w:rsidRDefault="00721C82">
      <w:pPr>
        <w:pStyle w:val="afb"/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страхования Московской области              </w:t>
      </w:r>
      <w:r>
        <w:rPr>
          <w:sz w:val="28"/>
          <w:szCs w:val="28"/>
        </w:rPr>
        <w:tab/>
        <w:t xml:space="preserve">                     </w:t>
      </w:r>
      <w:r>
        <w:rPr>
          <w:sz w:val="28"/>
          <w:szCs w:val="28"/>
        </w:rPr>
        <w:t xml:space="preserve">                  Е.В. Землякова</w:t>
      </w:r>
    </w:p>
    <w:sectPr w:rsidR="005E439B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439B" w:rsidRDefault="00721C82">
      <w:pPr>
        <w:spacing w:after="0" w:line="240" w:lineRule="auto"/>
      </w:pPr>
      <w:r>
        <w:separator/>
      </w:r>
    </w:p>
  </w:endnote>
  <w:endnote w:type="continuationSeparator" w:id="0">
    <w:p w:rsidR="005E439B" w:rsidRDefault="00721C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439B" w:rsidRDefault="00721C82">
      <w:pPr>
        <w:spacing w:after="0" w:line="240" w:lineRule="auto"/>
      </w:pPr>
      <w:r>
        <w:separator/>
      </w:r>
    </w:p>
  </w:footnote>
  <w:footnote w:type="continuationSeparator" w:id="0">
    <w:p w:rsidR="005E439B" w:rsidRDefault="00721C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439B" w:rsidRDefault="00721C82">
    <w:pPr>
      <w:pStyle w:val="ab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>PAGE   \* MERGEFORMAT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</w:rPr>
      <w:t>2</w:t>
    </w:r>
    <w:r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A4755"/>
    <w:multiLevelType w:val="hybridMultilevel"/>
    <w:tmpl w:val="A37A1120"/>
    <w:lvl w:ilvl="0" w:tplc="5AB07934">
      <w:start w:val="1"/>
      <w:numFmt w:val="decimal"/>
      <w:lvlText w:val="%1."/>
      <w:lvlJc w:val="left"/>
      <w:pPr>
        <w:ind w:left="720" w:hanging="360"/>
      </w:pPr>
    </w:lvl>
    <w:lvl w:ilvl="1" w:tplc="2C2CD9D8">
      <w:start w:val="1"/>
      <w:numFmt w:val="lowerLetter"/>
      <w:lvlText w:val="%2."/>
      <w:lvlJc w:val="left"/>
      <w:pPr>
        <w:ind w:left="1440" w:hanging="360"/>
      </w:pPr>
    </w:lvl>
    <w:lvl w:ilvl="2" w:tplc="E4C056D0">
      <w:start w:val="1"/>
      <w:numFmt w:val="lowerRoman"/>
      <w:lvlText w:val="%3."/>
      <w:lvlJc w:val="right"/>
      <w:pPr>
        <w:ind w:left="2160" w:hanging="180"/>
      </w:pPr>
    </w:lvl>
    <w:lvl w:ilvl="3" w:tplc="D41CAE92">
      <w:start w:val="1"/>
      <w:numFmt w:val="decimal"/>
      <w:lvlText w:val="%4."/>
      <w:lvlJc w:val="left"/>
      <w:pPr>
        <w:ind w:left="2880" w:hanging="360"/>
      </w:pPr>
    </w:lvl>
    <w:lvl w:ilvl="4" w:tplc="9AFE93AE">
      <w:start w:val="1"/>
      <w:numFmt w:val="lowerLetter"/>
      <w:lvlText w:val="%5."/>
      <w:lvlJc w:val="left"/>
      <w:pPr>
        <w:ind w:left="3600" w:hanging="360"/>
      </w:pPr>
    </w:lvl>
    <w:lvl w:ilvl="5" w:tplc="1166D9EA">
      <w:start w:val="1"/>
      <w:numFmt w:val="lowerRoman"/>
      <w:lvlText w:val="%6."/>
      <w:lvlJc w:val="right"/>
      <w:pPr>
        <w:ind w:left="4320" w:hanging="180"/>
      </w:pPr>
    </w:lvl>
    <w:lvl w:ilvl="6" w:tplc="99E4561C">
      <w:start w:val="1"/>
      <w:numFmt w:val="decimal"/>
      <w:lvlText w:val="%7."/>
      <w:lvlJc w:val="left"/>
      <w:pPr>
        <w:ind w:left="5040" w:hanging="360"/>
      </w:pPr>
    </w:lvl>
    <w:lvl w:ilvl="7" w:tplc="DA0C7EDC">
      <w:start w:val="1"/>
      <w:numFmt w:val="lowerLetter"/>
      <w:lvlText w:val="%8."/>
      <w:lvlJc w:val="left"/>
      <w:pPr>
        <w:ind w:left="5760" w:hanging="360"/>
      </w:pPr>
    </w:lvl>
    <w:lvl w:ilvl="8" w:tplc="255EFE6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439B"/>
    <w:rsid w:val="005E439B"/>
    <w:rsid w:val="00721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495FAB-82F4-450F-853F-E23B4F539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link w:val="af"/>
    <w:uiPriority w:val="35"/>
    <w:rPr>
      <w:b/>
      <w:bCs/>
      <w:color w:val="4F81BD" w:themeColor="accent1"/>
      <w:sz w:val="18"/>
      <w:szCs w:val="18"/>
    </w:rPr>
  </w:style>
  <w:style w:type="table" w:styleId="af1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uiPriority w:val="99"/>
    <w:semiHidden/>
    <w:unhideWhenUsed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  <w:pPr>
      <w:spacing w:after="0"/>
    </w:pPr>
  </w:style>
  <w:style w:type="paragraph" w:styleId="afb">
    <w:name w:val="Body Text"/>
    <w:basedOn w:val="a"/>
    <w:link w:val="afc"/>
    <w:pPr>
      <w:spacing w:after="120" w:line="36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c">
    <w:name w:val="Основной текст Знак"/>
    <w:link w:val="afb"/>
    <w:rPr>
      <w:rFonts w:ascii="Times New Roman" w:eastAsia="Times New Roman" w:hAnsi="Times New Roman"/>
    </w:rPr>
  </w:style>
  <w:style w:type="character" w:customStyle="1" w:styleId="ac">
    <w:name w:val="Верхний колонтитул Знак"/>
    <w:link w:val="ab"/>
    <w:uiPriority w:val="99"/>
    <w:rPr>
      <w:sz w:val="22"/>
      <w:szCs w:val="22"/>
      <w:lang w:eastAsia="en-US"/>
    </w:rPr>
  </w:style>
  <w:style w:type="character" w:customStyle="1" w:styleId="ae">
    <w:name w:val="Нижний колонтитул Знак"/>
    <w:link w:val="ad"/>
    <w:uiPriority w:val="99"/>
    <w:rPr>
      <w:sz w:val="22"/>
      <w:szCs w:val="22"/>
      <w:lang w:eastAsia="en-US"/>
    </w:rPr>
  </w:style>
  <w:style w:type="paragraph" w:styleId="afd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ofoms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841</Words>
  <Characters>4800</Characters>
  <Application>Microsoft Office Word</Application>
  <DocSecurity>0</DocSecurity>
  <Lines>40</Lines>
  <Paragraphs>11</Paragraphs>
  <ScaleCrop>false</ScaleCrop>
  <Company>tfoms mo</Company>
  <LinksUpToDate>false</LinksUpToDate>
  <CharactersWithSpaces>5630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pertseva_ap</dc:creator>
  <cp:lastModifiedBy>Сенина Наталья Сергеевна</cp:lastModifiedBy>
  <cp:revision>15</cp:revision>
  <dcterms:created xsi:type="dcterms:W3CDTF">2024-02-27T12:38:00Z</dcterms:created>
  <dcterms:modified xsi:type="dcterms:W3CDTF">2026-03-02T06:10:00Z</dcterms:modified>
  <cp:version>1048576</cp:version>
</cp:coreProperties>
</file>